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9EA8B" w14:textId="77777777" w:rsidR="00322F03" w:rsidRPr="00650051" w:rsidRDefault="00322F03" w:rsidP="00322F03">
      <w:pPr>
        <w:spacing w:line="276" w:lineRule="auto"/>
        <w:jc w:val="center"/>
        <w:rPr>
          <w:b/>
          <w:sz w:val="32"/>
          <w:szCs w:val="32"/>
        </w:rPr>
      </w:pPr>
      <w:bookmarkStart w:id="0" w:name="_GoBack"/>
      <w:bookmarkEnd w:id="0"/>
      <w:r>
        <w:rPr>
          <w:b/>
          <w:sz w:val="32"/>
          <w:szCs w:val="32"/>
        </w:rPr>
        <w:t>SOCIAL STATISTICS</w:t>
      </w:r>
      <w:r w:rsidRPr="00651954">
        <w:rPr>
          <w:b/>
          <w:sz w:val="32"/>
          <w:szCs w:val="32"/>
        </w:rPr>
        <w:t xml:space="preserve"> </w:t>
      </w:r>
      <w:r w:rsidRPr="00651954">
        <w:rPr>
          <w:b/>
          <w:sz w:val="32"/>
          <w:szCs w:val="32"/>
        </w:rPr>
        <w:br/>
      </w:r>
      <w:r w:rsidRPr="00650051">
        <w:rPr>
          <w:b/>
          <w:sz w:val="32"/>
          <w:szCs w:val="32"/>
        </w:rPr>
        <w:t>SOC 24100</w:t>
      </w:r>
    </w:p>
    <w:p w14:paraId="2E47B92E" w14:textId="77777777" w:rsidR="00322F03" w:rsidRDefault="00322F03" w:rsidP="00322F03">
      <w:pPr>
        <w:jc w:val="center"/>
        <w:rPr>
          <w:b/>
          <w:sz w:val="28"/>
          <w:szCs w:val="28"/>
        </w:rPr>
      </w:pPr>
    </w:p>
    <w:p w14:paraId="1097D5A8" w14:textId="7EA4B442" w:rsidR="00322F03" w:rsidRPr="00A572F1" w:rsidRDefault="00322F03" w:rsidP="00322F03">
      <w:pPr>
        <w:jc w:val="center"/>
        <w:rPr>
          <w:i/>
          <w:sz w:val="28"/>
          <w:szCs w:val="28"/>
        </w:rPr>
      </w:pPr>
      <w:r w:rsidRPr="00A572F1">
        <w:rPr>
          <w:i/>
          <w:sz w:val="28"/>
          <w:szCs w:val="28"/>
        </w:rPr>
        <w:t>Homework #</w:t>
      </w:r>
      <w:r>
        <w:rPr>
          <w:i/>
          <w:sz w:val="28"/>
          <w:szCs w:val="28"/>
        </w:rPr>
        <w:t>4</w:t>
      </w:r>
    </w:p>
    <w:p w14:paraId="2BEC4D7F" w14:textId="5A80E46A" w:rsidR="00322F03" w:rsidRDefault="00C37B56" w:rsidP="00322F03">
      <w:pPr>
        <w:jc w:val="center"/>
        <w:rPr>
          <w:sz w:val="28"/>
          <w:szCs w:val="28"/>
        </w:rPr>
      </w:pPr>
      <w:r>
        <w:rPr>
          <w:sz w:val="28"/>
          <w:szCs w:val="28"/>
        </w:rPr>
        <w:t xml:space="preserve">Mara Joseph </w:t>
      </w:r>
    </w:p>
    <w:p w14:paraId="1DC7AC26" w14:textId="1023E807" w:rsidR="00C37B56" w:rsidRDefault="00C37B56" w:rsidP="00322F03">
      <w:pPr>
        <w:jc w:val="center"/>
        <w:rPr>
          <w:sz w:val="28"/>
          <w:szCs w:val="28"/>
        </w:rPr>
      </w:pPr>
    </w:p>
    <w:p w14:paraId="4C890D30" w14:textId="77777777" w:rsidR="00C37B56" w:rsidRPr="00A572F1" w:rsidRDefault="00C37B56" w:rsidP="00322F03">
      <w:pPr>
        <w:jc w:val="center"/>
        <w:rPr>
          <w:sz w:val="28"/>
          <w:szCs w:val="28"/>
        </w:rPr>
      </w:pPr>
    </w:p>
    <w:p w14:paraId="6D16CCF1" w14:textId="77777777" w:rsidR="00131046" w:rsidRDefault="00131046" w:rsidP="00131046">
      <w:pPr>
        <w:pStyle w:val="ListParagraph"/>
      </w:pPr>
    </w:p>
    <w:p w14:paraId="1EC13170" w14:textId="77777777" w:rsidR="00131046" w:rsidRDefault="00131046" w:rsidP="00131046">
      <w:r>
        <w:t>Questions:</w:t>
      </w:r>
    </w:p>
    <w:p w14:paraId="74926123" w14:textId="77777777" w:rsidR="000A08B4" w:rsidRDefault="000A08B4" w:rsidP="000A08B4">
      <w:pPr>
        <w:numPr>
          <w:ilvl w:val="0"/>
          <w:numId w:val="3"/>
        </w:numPr>
      </w:pPr>
      <w:r>
        <w:t>Fill in the following table with a “yes” or “no” in each cell of the table, representing whether the measure of variability to the left can be calculated for a variable with the level of measurement above the cell.</w:t>
      </w:r>
    </w:p>
    <w:p w14:paraId="2EA5788C" w14:textId="77777777" w:rsidR="00EA3A12" w:rsidRDefault="00EA3A12" w:rsidP="00EA3A12">
      <w:pPr>
        <w:ind w:left="360"/>
      </w:pPr>
    </w:p>
    <w:tbl>
      <w:tblPr>
        <w:tblStyle w:val="TableGrid"/>
        <w:tblW w:w="7067" w:type="dxa"/>
        <w:tblLook w:val="0000" w:firstRow="0" w:lastRow="0" w:firstColumn="0" w:lastColumn="0" w:noHBand="0" w:noVBand="0"/>
      </w:tblPr>
      <w:tblGrid>
        <w:gridCol w:w="3145"/>
        <w:gridCol w:w="1934"/>
        <w:gridCol w:w="1988"/>
      </w:tblGrid>
      <w:tr w:rsidR="00355823" w:rsidRPr="007D33BD" w14:paraId="217CCB5B" w14:textId="77777777" w:rsidTr="00355823">
        <w:trPr>
          <w:trHeight w:val="717"/>
        </w:trPr>
        <w:tc>
          <w:tcPr>
            <w:tcW w:w="3145" w:type="dxa"/>
            <w:vAlign w:val="center"/>
          </w:tcPr>
          <w:p w14:paraId="1D0E5E04" w14:textId="77777777" w:rsidR="00355823" w:rsidRPr="007D33BD" w:rsidRDefault="00355823" w:rsidP="007D33BD">
            <w:pPr>
              <w:jc w:val="center"/>
            </w:pPr>
          </w:p>
        </w:tc>
        <w:tc>
          <w:tcPr>
            <w:tcW w:w="1934" w:type="dxa"/>
            <w:vAlign w:val="center"/>
          </w:tcPr>
          <w:p w14:paraId="4B397A0C" w14:textId="77777777" w:rsidR="00355823" w:rsidRPr="007D33BD" w:rsidRDefault="00355823" w:rsidP="007D33BD">
            <w:pPr>
              <w:jc w:val="center"/>
            </w:pPr>
            <w:r w:rsidRPr="007D33BD">
              <w:t>Ordinal Variable</w:t>
            </w:r>
          </w:p>
        </w:tc>
        <w:tc>
          <w:tcPr>
            <w:tcW w:w="1988" w:type="dxa"/>
            <w:vAlign w:val="center"/>
          </w:tcPr>
          <w:p w14:paraId="770BF9D8" w14:textId="77777777" w:rsidR="00355823" w:rsidRPr="007D33BD" w:rsidRDefault="00355823" w:rsidP="007D33BD">
            <w:pPr>
              <w:jc w:val="center"/>
            </w:pPr>
            <w:r w:rsidRPr="007D33BD">
              <w:t>Interval-Ratio Variable</w:t>
            </w:r>
          </w:p>
        </w:tc>
      </w:tr>
      <w:tr w:rsidR="00355823" w:rsidRPr="007D33BD" w14:paraId="3C29F029" w14:textId="77777777" w:rsidTr="00355823">
        <w:trPr>
          <w:trHeight w:val="461"/>
        </w:trPr>
        <w:tc>
          <w:tcPr>
            <w:tcW w:w="3145" w:type="dxa"/>
            <w:vAlign w:val="center"/>
          </w:tcPr>
          <w:p w14:paraId="4B922D83" w14:textId="77777777" w:rsidR="00355823" w:rsidRPr="007D33BD" w:rsidRDefault="00355823" w:rsidP="007D33BD">
            <w:pPr>
              <w:ind w:left="360"/>
            </w:pPr>
            <w:r w:rsidRPr="007D33BD">
              <w:t>Range</w:t>
            </w:r>
          </w:p>
        </w:tc>
        <w:tc>
          <w:tcPr>
            <w:tcW w:w="1934" w:type="dxa"/>
          </w:tcPr>
          <w:p w14:paraId="41E8D10F" w14:textId="308520BF" w:rsidR="00355823" w:rsidRPr="007D33BD" w:rsidRDefault="00355823" w:rsidP="00EA3A12">
            <w:pPr>
              <w:jc w:val="center"/>
            </w:pPr>
          </w:p>
        </w:tc>
        <w:tc>
          <w:tcPr>
            <w:tcW w:w="1988" w:type="dxa"/>
          </w:tcPr>
          <w:p w14:paraId="1BA8F774" w14:textId="7E4360E9" w:rsidR="00355823" w:rsidRPr="007D33BD" w:rsidRDefault="00355823" w:rsidP="00EA3A12">
            <w:pPr>
              <w:ind w:left="360"/>
            </w:pPr>
          </w:p>
        </w:tc>
      </w:tr>
      <w:tr w:rsidR="00355823" w:rsidRPr="007D33BD" w14:paraId="2AA9600A" w14:textId="77777777" w:rsidTr="00355823">
        <w:trPr>
          <w:trHeight w:val="461"/>
        </w:trPr>
        <w:tc>
          <w:tcPr>
            <w:tcW w:w="3145" w:type="dxa"/>
            <w:vAlign w:val="center"/>
          </w:tcPr>
          <w:p w14:paraId="2FEF38A0" w14:textId="77777777" w:rsidR="00355823" w:rsidRPr="007D33BD" w:rsidRDefault="00355823" w:rsidP="007D33BD">
            <w:pPr>
              <w:ind w:left="360"/>
            </w:pPr>
            <w:r w:rsidRPr="007D33BD">
              <w:t>IQR</w:t>
            </w:r>
          </w:p>
        </w:tc>
        <w:tc>
          <w:tcPr>
            <w:tcW w:w="1934" w:type="dxa"/>
          </w:tcPr>
          <w:p w14:paraId="075C22E7" w14:textId="60D86809" w:rsidR="00355823" w:rsidRPr="007D33BD" w:rsidRDefault="00355823" w:rsidP="00EA3A12">
            <w:pPr>
              <w:jc w:val="center"/>
            </w:pPr>
          </w:p>
        </w:tc>
        <w:tc>
          <w:tcPr>
            <w:tcW w:w="1988" w:type="dxa"/>
          </w:tcPr>
          <w:p w14:paraId="74B3A40C" w14:textId="427D1FBB" w:rsidR="00355823" w:rsidRPr="007D33BD" w:rsidRDefault="00355823" w:rsidP="00EA3A12">
            <w:pPr>
              <w:ind w:left="360"/>
            </w:pPr>
          </w:p>
        </w:tc>
      </w:tr>
      <w:tr w:rsidR="00355823" w:rsidRPr="007D33BD" w14:paraId="461030AD" w14:textId="77777777" w:rsidTr="00355823">
        <w:trPr>
          <w:trHeight w:val="461"/>
        </w:trPr>
        <w:tc>
          <w:tcPr>
            <w:tcW w:w="3145" w:type="dxa"/>
            <w:vAlign w:val="center"/>
          </w:tcPr>
          <w:p w14:paraId="3ED626E4" w14:textId="77777777" w:rsidR="00355823" w:rsidRPr="007D33BD" w:rsidRDefault="00355823" w:rsidP="007D33BD">
            <w:pPr>
              <w:ind w:left="360"/>
            </w:pPr>
            <w:r w:rsidRPr="007D33BD">
              <w:t>Variance</w:t>
            </w:r>
          </w:p>
        </w:tc>
        <w:tc>
          <w:tcPr>
            <w:tcW w:w="1934" w:type="dxa"/>
          </w:tcPr>
          <w:p w14:paraId="389EC8B4" w14:textId="747F902E" w:rsidR="00355823" w:rsidRPr="007D33BD" w:rsidRDefault="00355823" w:rsidP="00EA3A12">
            <w:pPr>
              <w:jc w:val="center"/>
            </w:pPr>
          </w:p>
        </w:tc>
        <w:tc>
          <w:tcPr>
            <w:tcW w:w="1988" w:type="dxa"/>
          </w:tcPr>
          <w:p w14:paraId="3E866CFE" w14:textId="67BFFB82" w:rsidR="00355823" w:rsidRPr="007D33BD" w:rsidRDefault="00355823" w:rsidP="00EA3A12">
            <w:pPr>
              <w:ind w:left="360"/>
            </w:pPr>
          </w:p>
        </w:tc>
      </w:tr>
      <w:tr w:rsidR="00355823" w:rsidRPr="007D33BD" w14:paraId="03957626" w14:textId="77777777" w:rsidTr="00355823">
        <w:trPr>
          <w:trHeight w:val="495"/>
        </w:trPr>
        <w:tc>
          <w:tcPr>
            <w:tcW w:w="3145" w:type="dxa"/>
            <w:vAlign w:val="center"/>
          </w:tcPr>
          <w:p w14:paraId="762845F8" w14:textId="77777777" w:rsidR="00355823" w:rsidRPr="007D33BD" w:rsidRDefault="00355823" w:rsidP="007D33BD">
            <w:pPr>
              <w:ind w:left="360"/>
            </w:pPr>
            <w:r w:rsidRPr="007D33BD">
              <w:t>Standard Deviation</w:t>
            </w:r>
          </w:p>
        </w:tc>
        <w:tc>
          <w:tcPr>
            <w:tcW w:w="1934" w:type="dxa"/>
          </w:tcPr>
          <w:p w14:paraId="0211353B" w14:textId="7BDEF98F" w:rsidR="00355823" w:rsidRPr="007D33BD" w:rsidRDefault="00355823" w:rsidP="00EA3A12">
            <w:pPr>
              <w:jc w:val="center"/>
            </w:pPr>
          </w:p>
        </w:tc>
        <w:tc>
          <w:tcPr>
            <w:tcW w:w="1988" w:type="dxa"/>
          </w:tcPr>
          <w:p w14:paraId="6933CEE7" w14:textId="4E26C794" w:rsidR="00355823" w:rsidRPr="007D33BD" w:rsidRDefault="00355823" w:rsidP="00EA3A12">
            <w:pPr>
              <w:ind w:left="360"/>
            </w:pPr>
          </w:p>
        </w:tc>
      </w:tr>
    </w:tbl>
    <w:p w14:paraId="17E24E73" w14:textId="77777777" w:rsidR="00EA3A12" w:rsidRDefault="00EA3A12" w:rsidP="00EA3A12">
      <w:pPr>
        <w:ind w:left="360"/>
      </w:pPr>
    </w:p>
    <w:p w14:paraId="5FE83F8F" w14:textId="77777777" w:rsidR="00B6039A" w:rsidRDefault="00B6039A" w:rsidP="00EA3A12">
      <w:pPr>
        <w:ind w:left="360"/>
      </w:pPr>
    </w:p>
    <w:p w14:paraId="6BDB2A1D" w14:textId="77777777" w:rsidR="000A08B4" w:rsidRDefault="00F31FD6" w:rsidP="000A08B4">
      <w:pPr>
        <w:numPr>
          <w:ilvl w:val="0"/>
          <w:numId w:val="3"/>
        </w:numPr>
      </w:pPr>
      <w:r>
        <w:t>Why is it important to calculate measures of variability?</w:t>
      </w:r>
    </w:p>
    <w:p w14:paraId="51EB7A38" w14:textId="77777777" w:rsidR="00F31FD6" w:rsidRDefault="00F31FD6" w:rsidP="00F31FD6">
      <w:pPr>
        <w:ind w:left="360"/>
      </w:pPr>
    </w:p>
    <w:p w14:paraId="51BC8E89" w14:textId="77777777" w:rsidR="00B6039A" w:rsidRDefault="00E26AAF" w:rsidP="00E26AAF">
      <w:pPr>
        <w:pStyle w:val="ListParagraph"/>
        <w:numPr>
          <w:ilvl w:val="0"/>
          <w:numId w:val="3"/>
        </w:numPr>
      </w:pPr>
      <w:r>
        <w:t>If Professor Taylor and Professor Silver both taught sections of statistics, and their final grade</w:t>
      </w:r>
      <w:r w:rsidR="004B3807">
        <w:t xml:space="preserve"> distributions</w:t>
      </w:r>
      <w:r>
        <w:t xml:space="preserve"> had the following central tendencies and variability, whose class would you rather be in? Why?</w:t>
      </w:r>
    </w:p>
    <w:p w14:paraId="49B4EF97" w14:textId="77777777" w:rsidR="00E26AAF" w:rsidRDefault="00E26AAF" w:rsidP="00E26AAF">
      <w:pPr>
        <w:pStyle w:val="ListParagraph"/>
      </w:pPr>
    </w:p>
    <w:tbl>
      <w:tblPr>
        <w:tblStyle w:val="TableGrid"/>
        <w:tblW w:w="7066" w:type="dxa"/>
        <w:tblInd w:w="795" w:type="dxa"/>
        <w:tblLook w:val="0000" w:firstRow="0" w:lastRow="0" w:firstColumn="0" w:lastColumn="0" w:noHBand="0" w:noVBand="0"/>
      </w:tblPr>
      <w:tblGrid>
        <w:gridCol w:w="3145"/>
        <w:gridCol w:w="1987"/>
        <w:gridCol w:w="1934"/>
      </w:tblGrid>
      <w:tr w:rsidR="00E26AAF" w:rsidRPr="007D33BD" w14:paraId="38F83494" w14:textId="77777777" w:rsidTr="00B75AF2">
        <w:trPr>
          <w:trHeight w:val="717"/>
        </w:trPr>
        <w:tc>
          <w:tcPr>
            <w:tcW w:w="3145" w:type="dxa"/>
            <w:shd w:val="clear" w:color="auto" w:fill="F2F2F2" w:themeFill="background1" w:themeFillShade="F2"/>
            <w:vAlign w:val="center"/>
          </w:tcPr>
          <w:p w14:paraId="3D585B2F" w14:textId="77777777" w:rsidR="00E26AAF" w:rsidRPr="007D33BD" w:rsidRDefault="00E26AAF" w:rsidP="00AE7303">
            <w:pPr>
              <w:jc w:val="center"/>
            </w:pPr>
          </w:p>
        </w:tc>
        <w:tc>
          <w:tcPr>
            <w:tcW w:w="1987" w:type="dxa"/>
            <w:shd w:val="clear" w:color="auto" w:fill="F2F2F2" w:themeFill="background1" w:themeFillShade="F2"/>
            <w:vAlign w:val="center"/>
          </w:tcPr>
          <w:p w14:paraId="01AEE010" w14:textId="2E339B4A" w:rsidR="00E26AAF" w:rsidRPr="007D33BD" w:rsidRDefault="00E26AAF" w:rsidP="00AE7303">
            <w:pPr>
              <w:jc w:val="center"/>
            </w:pPr>
            <w:r>
              <w:t xml:space="preserve">Professor </w:t>
            </w:r>
            <w:r w:rsidR="00DC7253">
              <w:t>Silver</w:t>
            </w:r>
          </w:p>
        </w:tc>
        <w:tc>
          <w:tcPr>
            <w:tcW w:w="1934" w:type="dxa"/>
            <w:shd w:val="clear" w:color="auto" w:fill="F2F2F2" w:themeFill="background1" w:themeFillShade="F2"/>
            <w:vAlign w:val="center"/>
          </w:tcPr>
          <w:p w14:paraId="2CD66BF4" w14:textId="4BA852C7" w:rsidR="00E26AAF" w:rsidRPr="007D33BD" w:rsidRDefault="00E26AAF" w:rsidP="00AE7303">
            <w:pPr>
              <w:jc w:val="center"/>
            </w:pPr>
            <w:r>
              <w:t xml:space="preserve">Professor </w:t>
            </w:r>
            <w:r w:rsidR="00DC7253">
              <w:t>Taylor</w:t>
            </w:r>
          </w:p>
        </w:tc>
      </w:tr>
      <w:tr w:rsidR="00E26AAF" w:rsidRPr="007D33BD" w14:paraId="38B23F6B" w14:textId="77777777" w:rsidTr="00E26AAF">
        <w:trPr>
          <w:trHeight w:val="461"/>
        </w:trPr>
        <w:tc>
          <w:tcPr>
            <w:tcW w:w="3145" w:type="dxa"/>
            <w:vAlign w:val="center"/>
          </w:tcPr>
          <w:p w14:paraId="2505E071" w14:textId="77777777" w:rsidR="00E26AAF" w:rsidRPr="007D33BD" w:rsidRDefault="00E26AAF" w:rsidP="00AE7303">
            <w:pPr>
              <w:ind w:left="360"/>
            </w:pPr>
            <w:r>
              <w:t>Mean</w:t>
            </w:r>
          </w:p>
        </w:tc>
        <w:tc>
          <w:tcPr>
            <w:tcW w:w="1987" w:type="dxa"/>
            <w:vAlign w:val="center"/>
          </w:tcPr>
          <w:p w14:paraId="6D801E3F" w14:textId="77777777" w:rsidR="00E26AAF" w:rsidRPr="007D33BD" w:rsidRDefault="00E26AAF" w:rsidP="00E26AAF">
            <w:pPr>
              <w:jc w:val="center"/>
            </w:pPr>
            <w:r>
              <w:t>83.57</w:t>
            </w:r>
          </w:p>
        </w:tc>
        <w:tc>
          <w:tcPr>
            <w:tcW w:w="1934" w:type="dxa"/>
            <w:vAlign w:val="center"/>
          </w:tcPr>
          <w:p w14:paraId="671556DD" w14:textId="77777777" w:rsidR="00E26AAF" w:rsidRPr="007D33BD" w:rsidRDefault="00B75AF2" w:rsidP="00E26AAF">
            <w:pPr>
              <w:jc w:val="center"/>
            </w:pPr>
            <w:r>
              <w:t>82.86</w:t>
            </w:r>
          </w:p>
        </w:tc>
      </w:tr>
      <w:tr w:rsidR="00E26AAF" w:rsidRPr="007D33BD" w14:paraId="2781B095" w14:textId="77777777" w:rsidTr="00E26AAF">
        <w:trPr>
          <w:trHeight w:val="461"/>
        </w:trPr>
        <w:tc>
          <w:tcPr>
            <w:tcW w:w="3145" w:type="dxa"/>
            <w:vAlign w:val="center"/>
          </w:tcPr>
          <w:p w14:paraId="2937AB43" w14:textId="77777777" w:rsidR="00E26AAF" w:rsidRPr="007D33BD" w:rsidRDefault="00E26AAF" w:rsidP="00AE7303">
            <w:pPr>
              <w:ind w:left="360"/>
            </w:pPr>
            <w:r>
              <w:t>Median</w:t>
            </w:r>
          </w:p>
        </w:tc>
        <w:tc>
          <w:tcPr>
            <w:tcW w:w="1987" w:type="dxa"/>
            <w:vAlign w:val="center"/>
          </w:tcPr>
          <w:p w14:paraId="57B1F671" w14:textId="77777777" w:rsidR="00E26AAF" w:rsidRPr="007D33BD" w:rsidRDefault="00E26AAF" w:rsidP="00E26AAF">
            <w:pPr>
              <w:jc w:val="center"/>
            </w:pPr>
            <w:r>
              <w:t>95</w:t>
            </w:r>
          </w:p>
        </w:tc>
        <w:tc>
          <w:tcPr>
            <w:tcW w:w="1934" w:type="dxa"/>
            <w:vAlign w:val="center"/>
          </w:tcPr>
          <w:p w14:paraId="6148235E" w14:textId="77777777" w:rsidR="00E26AAF" w:rsidRPr="007D33BD" w:rsidRDefault="00B75AF2" w:rsidP="00E26AAF">
            <w:pPr>
              <w:jc w:val="center"/>
            </w:pPr>
            <w:r>
              <w:t>82</w:t>
            </w:r>
          </w:p>
        </w:tc>
      </w:tr>
      <w:tr w:rsidR="00E26AAF" w:rsidRPr="007D33BD" w14:paraId="71E91D7A" w14:textId="77777777" w:rsidTr="00E26AAF">
        <w:trPr>
          <w:trHeight w:val="461"/>
        </w:trPr>
        <w:tc>
          <w:tcPr>
            <w:tcW w:w="3145" w:type="dxa"/>
            <w:vAlign w:val="center"/>
          </w:tcPr>
          <w:p w14:paraId="355FF907" w14:textId="77777777" w:rsidR="00E26AAF" w:rsidRPr="007D33BD" w:rsidRDefault="00E26AAF" w:rsidP="00AE7303">
            <w:pPr>
              <w:ind w:left="360"/>
            </w:pPr>
            <w:r>
              <w:t>Mode</w:t>
            </w:r>
          </w:p>
        </w:tc>
        <w:tc>
          <w:tcPr>
            <w:tcW w:w="1987" w:type="dxa"/>
            <w:vAlign w:val="center"/>
          </w:tcPr>
          <w:p w14:paraId="3DE16486" w14:textId="77777777" w:rsidR="00E26AAF" w:rsidRPr="007D33BD" w:rsidRDefault="00E26AAF" w:rsidP="00E26AAF">
            <w:pPr>
              <w:jc w:val="center"/>
            </w:pPr>
            <w:r>
              <w:t>98</w:t>
            </w:r>
          </w:p>
        </w:tc>
        <w:tc>
          <w:tcPr>
            <w:tcW w:w="1934" w:type="dxa"/>
            <w:vAlign w:val="center"/>
          </w:tcPr>
          <w:p w14:paraId="0ADA4080" w14:textId="77777777" w:rsidR="00E26AAF" w:rsidRPr="007D33BD" w:rsidRDefault="00B75AF2" w:rsidP="00E26AAF">
            <w:pPr>
              <w:jc w:val="center"/>
            </w:pPr>
            <w:r>
              <w:t>80</w:t>
            </w:r>
          </w:p>
        </w:tc>
      </w:tr>
      <w:tr w:rsidR="00E26AAF" w:rsidRPr="007D33BD" w14:paraId="676EFB70" w14:textId="77777777" w:rsidTr="00E26AAF">
        <w:trPr>
          <w:trHeight w:val="461"/>
        </w:trPr>
        <w:tc>
          <w:tcPr>
            <w:tcW w:w="3145" w:type="dxa"/>
            <w:vAlign w:val="center"/>
          </w:tcPr>
          <w:p w14:paraId="171CCD41" w14:textId="77777777" w:rsidR="00E26AAF" w:rsidRPr="007D33BD" w:rsidRDefault="00E26AAF" w:rsidP="00AE7303">
            <w:pPr>
              <w:ind w:left="360"/>
            </w:pPr>
            <w:r w:rsidRPr="007D33BD">
              <w:t>Range</w:t>
            </w:r>
          </w:p>
        </w:tc>
        <w:tc>
          <w:tcPr>
            <w:tcW w:w="1987" w:type="dxa"/>
            <w:vAlign w:val="center"/>
          </w:tcPr>
          <w:p w14:paraId="46FAFADF" w14:textId="77777777" w:rsidR="00E26AAF" w:rsidRPr="007D33BD" w:rsidRDefault="00E26AAF" w:rsidP="00E26AAF">
            <w:pPr>
              <w:jc w:val="center"/>
            </w:pPr>
            <w:r>
              <w:t>50 to 99</w:t>
            </w:r>
          </w:p>
        </w:tc>
        <w:tc>
          <w:tcPr>
            <w:tcW w:w="1934" w:type="dxa"/>
            <w:vAlign w:val="center"/>
          </w:tcPr>
          <w:p w14:paraId="2577290F" w14:textId="77777777" w:rsidR="00E26AAF" w:rsidRPr="007D33BD" w:rsidRDefault="00B75AF2" w:rsidP="00E26AAF">
            <w:pPr>
              <w:jc w:val="center"/>
            </w:pPr>
            <w:r>
              <w:t>80 to 88</w:t>
            </w:r>
          </w:p>
        </w:tc>
      </w:tr>
      <w:tr w:rsidR="00E26AAF" w:rsidRPr="007D33BD" w14:paraId="1CA1B718" w14:textId="77777777" w:rsidTr="00E26AAF">
        <w:trPr>
          <w:trHeight w:val="461"/>
        </w:trPr>
        <w:tc>
          <w:tcPr>
            <w:tcW w:w="3145" w:type="dxa"/>
            <w:vAlign w:val="center"/>
          </w:tcPr>
          <w:p w14:paraId="27B0F379" w14:textId="77777777" w:rsidR="00E26AAF" w:rsidRPr="007D33BD" w:rsidRDefault="00E26AAF" w:rsidP="00AE7303">
            <w:pPr>
              <w:ind w:left="360"/>
            </w:pPr>
            <w:r w:rsidRPr="007D33BD">
              <w:t>IQR</w:t>
            </w:r>
          </w:p>
        </w:tc>
        <w:tc>
          <w:tcPr>
            <w:tcW w:w="1987" w:type="dxa"/>
            <w:vAlign w:val="center"/>
          </w:tcPr>
          <w:p w14:paraId="4A791F21" w14:textId="77777777" w:rsidR="00E26AAF" w:rsidRPr="007D33BD" w:rsidRDefault="00B75AF2" w:rsidP="00E26AAF">
            <w:pPr>
              <w:jc w:val="center"/>
            </w:pPr>
            <w:r>
              <w:t>70 to 98</w:t>
            </w:r>
          </w:p>
        </w:tc>
        <w:tc>
          <w:tcPr>
            <w:tcW w:w="1934" w:type="dxa"/>
            <w:vAlign w:val="center"/>
          </w:tcPr>
          <w:p w14:paraId="23AC1B58" w14:textId="77777777" w:rsidR="00E26AAF" w:rsidRPr="007D33BD" w:rsidRDefault="00B75AF2" w:rsidP="00E26AAF">
            <w:pPr>
              <w:jc w:val="center"/>
            </w:pPr>
            <w:r>
              <w:t>80 to 85</w:t>
            </w:r>
          </w:p>
        </w:tc>
      </w:tr>
      <w:tr w:rsidR="00E26AAF" w:rsidRPr="007D33BD" w14:paraId="61571BA6" w14:textId="77777777" w:rsidTr="00E26AAF">
        <w:trPr>
          <w:trHeight w:val="461"/>
        </w:trPr>
        <w:tc>
          <w:tcPr>
            <w:tcW w:w="3145" w:type="dxa"/>
            <w:vAlign w:val="center"/>
          </w:tcPr>
          <w:p w14:paraId="02F9C912" w14:textId="77777777" w:rsidR="00E26AAF" w:rsidRPr="007D33BD" w:rsidRDefault="00E26AAF" w:rsidP="00AE7303">
            <w:pPr>
              <w:ind w:left="360"/>
            </w:pPr>
            <w:r w:rsidRPr="007D33BD">
              <w:t>Variance</w:t>
            </w:r>
          </w:p>
        </w:tc>
        <w:tc>
          <w:tcPr>
            <w:tcW w:w="1987" w:type="dxa"/>
            <w:vAlign w:val="center"/>
          </w:tcPr>
          <w:p w14:paraId="43A3779A" w14:textId="77777777" w:rsidR="00E26AAF" w:rsidRPr="007D33BD" w:rsidRDefault="00B75AF2" w:rsidP="00E26AAF">
            <w:pPr>
              <w:jc w:val="center"/>
            </w:pPr>
            <w:r>
              <w:t>309.96</w:t>
            </w:r>
          </w:p>
        </w:tc>
        <w:tc>
          <w:tcPr>
            <w:tcW w:w="1934" w:type="dxa"/>
            <w:vAlign w:val="center"/>
          </w:tcPr>
          <w:p w14:paraId="71303466" w14:textId="77777777" w:rsidR="00E26AAF" w:rsidRPr="007D33BD" w:rsidRDefault="00B75AF2" w:rsidP="00E26AAF">
            <w:pPr>
              <w:jc w:val="center"/>
            </w:pPr>
            <w:r>
              <w:t>7.55</w:t>
            </w:r>
          </w:p>
        </w:tc>
      </w:tr>
      <w:tr w:rsidR="00E26AAF" w:rsidRPr="007D33BD" w14:paraId="0F501BF2" w14:textId="77777777" w:rsidTr="00E26AAF">
        <w:trPr>
          <w:trHeight w:val="495"/>
        </w:trPr>
        <w:tc>
          <w:tcPr>
            <w:tcW w:w="3145" w:type="dxa"/>
            <w:vAlign w:val="center"/>
          </w:tcPr>
          <w:p w14:paraId="65CC8D0A" w14:textId="77777777" w:rsidR="00E26AAF" w:rsidRPr="007D33BD" w:rsidRDefault="00E26AAF" w:rsidP="00AE7303">
            <w:pPr>
              <w:ind w:left="360"/>
            </w:pPr>
            <w:r w:rsidRPr="007D33BD">
              <w:lastRenderedPageBreak/>
              <w:t>Standard Deviation</w:t>
            </w:r>
          </w:p>
        </w:tc>
        <w:tc>
          <w:tcPr>
            <w:tcW w:w="1987" w:type="dxa"/>
            <w:vAlign w:val="center"/>
          </w:tcPr>
          <w:p w14:paraId="734B9B63" w14:textId="77777777" w:rsidR="00E26AAF" w:rsidRPr="007D33BD" w:rsidRDefault="00B75AF2" w:rsidP="00E26AAF">
            <w:pPr>
              <w:jc w:val="center"/>
            </w:pPr>
            <w:r>
              <w:t>17.61</w:t>
            </w:r>
          </w:p>
        </w:tc>
        <w:tc>
          <w:tcPr>
            <w:tcW w:w="1934" w:type="dxa"/>
            <w:vAlign w:val="center"/>
          </w:tcPr>
          <w:p w14:paraId="36950E3D" w14:textId="77777777" w:rsidR="00E26AAF" w:rsidRPr="007D33BD" w:rsidRDefault="00B75AF2" w:rsidP="00E26AAF">
            <w:pPr>
              <w:jc w:val="center"/>
            </w:pPr>
            <w:r>
              <w:t>2.75</w:t>
            </w:r>
          </w:p>
        </w:tc>
      </w:tr>
    </w:tbl>
    <w:p w14:paraId="0F4CC7F7" w14:textId="77777777" w:rsidR="00B75AF2" w:rsidRDefault="00B75AF2" w:rsidP="00E26AAF"/>
    <w:p w14:paraId="7EB3AB65" w14:textId="77777777" w:rsidR="004007D1" w:rsidRDefault="004007D1">
      <w:r>
        <w:br w:type="page"/>
      </w:r>
    </w:p>
    <w:p w14:paraId="0FA0194A" w14:textId="62583E33" w:rsidR="00AE5729" w:rsidRDefault="004007D1" w:rsidP="00AE5729">
      <w:pPr>
        <w:pStyle w:val="ListParagraph"/>
        <w:numPr>
          <w:ilvl w:val="0"/>
          <w:numId w:val="3"/>
        </w:numPr>
      </w:pPr>
      <w:r>
        <w:lastRenderedPageBreak/>
        <w:t>Occupational prestige is a statistic developed by sociologists to measure the status of one’s occupation. Occupational prestige is also a component of what sociologists call socioeconomic status, a composite measure of one’ status in society. On average, people with more education tend to have higher occupational prestige than people with led education. We investigate this using GSS 2014 data.</w:t>
      </w:r>
    </w:p>
    <w:p w14:paraId="6E571AC4" w14:textId="77777777" w:rsidR="005D40BD" w:rsidRDefault="005D40BD" w:rsidP="005D40BD">
      <w:pPr>
        <w:pStyle w:val="ListParagraph"/>
      </w:pPr>
    </w:p>
    <w:p w14:paraId="2CEDB3B2" w14:textId="3C7F0EB4" w:rsidR="008C1C63" w:rsidRDefault="008C1C63" w:rsidP="008C1C63"/>
    <w:tbl>
      <w:tblPr>
        <w:tblStyle w:val="TableGrid"/>
        <w:tblW w:w="0" w:type="auto"/>
        <w:tblLook w:val="04A0" w:firstRow="1" w:lastRow="0" w:firstColumn="1" w:lastColumn="0" w:noHBand="0" w:noVBand="1"/>
      </w:tblPr>
      <w:tblGrid>
        <w:gridCol w:w="2888"/>
        <w:gridCol w:w="2864"/>
        <w:gridCol w:w="2878"/>
      </w:tblGrid>
      <w:tr w:rsidR="008C1C63" w:rsidRPr="008C1C63" w14:paraId="47FC5C9C" w14:textId="77777777" w:rsidTr="00FC3354">
        <w:tc>
          <w:tcPr>
            <w:tcW w:w="8856" w:type="dxa"/>
            <w:gridSpan w:val="3"/>
          </w:tcPr>
          <w:p w14:paraId="094F7306" w14:textId="673D21DA" w:rsidR="008C1C63" w:rsidRPr="008C1C63" w:rsidRDefault="008C1C63" w:rsidP="008C1C63">
            <w:pPr>
              <w:rPr>
                <w:b/>
              </w:rPr>
            </w:pPr>
            <w:r>
              <w:rPr>
                <w:b/>
              </w:rPr>
              <w:t>Occupational Prestige by Highest Degree</w:t>
            </w:r>
          </w:p>
        </w:tc>
      </w:tr>
      <w:tr w:rsidR="008C1C63" w:rsidRPr="008C1C63" w14:paraId="70A3D2D8" w14:textId="77777777" w:rsidTr="008C1C63">
        <w:tc>
          <w:tcPr>
            <w:tcW w:w="2952" w:type="dxa"/>
          </w:tcPr>
          <w:p w14:paraId="3DE70BA0" w14:textId="77777777" w:rsidR="008C1C63" w:rsidRPr="008C1C63" w:rsidRDefault="008C1C63" w:rsidP="008C1C63">
            <w:pPr>
              <w:jc w:val="center"/>
              <w:rPr>
                <w:b/>
              </w:rPr>
            </w:pPr>
          </w:p>
        </w:tc>
        <w:tc>
          <w:tcPr>
            <w:tcW w:w="2952" w:type="dxa"/>
          </w:tcPr>
          <w:p w14:paraId="63B5C1CE" w14:textId="2B988AA5" w:rsidR="008C1C63" w:rsidRPr="008C1C63" w:rsidRDefault="008C1C63" w:rsidP="008C1C63">
            <w:pPr>
              <w:jc w:val="center"/>
              <w:rPr>
                <w:b/>
              </w:rPr>
            </w:pPr>
            <w:r w:rsidRPr="008C1C63">
              <w:rPr>
                <w:b/>
              </w:rPr>
              <w:t>High school Degree</w:t>
            </w:r>
          </w:p>
        </w:tc>
        <w:tc>
          <w:tcPr>
            <w:tcW w:w="2952" w:type="dxa"/>
          </w:tcPr>
          <w:p w14:paraId="4ED8DD04" w14:textId="735D5929" w:rsidR="008C1C63" w:rsidRPr="008C1C63" w:rsidRDefault="008C1C63" w:rsidP="008C1C63">
            <w:pPr>
              <w:jc w:val="center"/>
              <w:rPr>
                <w:b/>
              </w:rPr>
            </w:pPr>
            <w:r w:rsidRPr="008C1C63">
              <w:rPr>
                <w:b/>
              </w:rPr>
              <w:t>Bachelor’s Degree</w:t>
            </w:r>
          </w:p>
        </w:tc>
      </w:tr>
      <w:tr w:rsidR="008C1C63" w:rsidRPr="008C1C63" w14:paraId="6706D8E2" w14:textId="77777777" w:rsidTr="008C1C63">
        <w:tc>
          <w:tcPr>
            <w:tcW w:w="2952" w:type="dxa"/>
          </w:tcPr>
          <w:p w14:paraId="57DC93FD" w14:textId="300AEAB3" w:rsidR="008C1C63" w:rsidRPr="008C1C63" w:rsidRDefault="008C1C63" w:rsidP="008C1C63">
            <w:pPr>
              <w:rPr>
                <w:b/>
              </w:rPr>
            </w:pPr>
            <w:r w:rsidRPr="008C1C63">
              <w:rPr>
                <w:b/>
              </w:rPr>
              <w:t>Mean</w:t>
            </w:r>
          </w:p>
        </w:tc>
        <w:tc>
          <w:tcPr>
            <w:tcW w:w="2952" w:type="dxa"/>
          </w:tcPr>
          <w:p w14:paraId="442643ED" w14:textId="52F3345B" w:rsidR="008C1C63" w:rsidRPr="008C1C63" w:rsidRDefault="008C1C63" w:rsidP="008C1C63">
            <w:pPr>
              <w:jc w:val="center"/>
            </w:pPr>
            <w:r>
              <w:t>38.82</w:t>
            </w:r>
          </w:p>
        </w:tc>
        <w:tc>
          <w:tcPr>
            <w:tcW w:w="2952" w:type="dxa"/>
          </w:tcPr>
          <w:p w14:paraId="0B08ADF9" w14:textId="6BB42650" w:rsidR="008C1C63" w:rsidRPr="008C1C63" w:rsidRDefault="008C1C63" w:rsidP="008C1C63">
            <w:pPr>
              <w:jc w:val="center"/>
            </w:pPr>
            <w:r>
              <w:t>50.02</w:t>
            </w:r>
          </w:p>
        </w:tc>
      </w:tr>
      <w:tr w:rsidR="008C1C63" w:rsidRPr="008C1C63" w14:paraId="174568E5" w14:textId="77777777" w:rsidTr="008C1C63">
        <w:tc>
          <w:tcPr>
            <w:tcW w:w="2952" w:type="dxa"/>
          </w:tcPr>
          <w:p w14:paraId="0CBB557C" w14:textId="27530C2F" w:rsidR="008C1C63" w:rsidRPr="008C1C63" w:rsidRDefault="008C1C63" w:rsidP="008C1C63">
            <w:pPr>
              <w:rPr>
                <w:b/>
              </w:rPr>
            </w:pPr>
            <w:r w:rsidRPr="008C1C63">
              <w:rPr>
                <w:b/>
              </w:rPr>
              <w:t>Median</w:t>
            </w:r>
          </w:p>
        </w:tc>
        <w:tc>
          <w:tcPr>
            <w:tcW w:w="2952" w:type="dxa"/>
          </w:tcPr>
          <w:p w14:paraId="09CB216F" w14:textId="428BB27D" w:rsidR="008C1C63" w:rsidRPr="008C1C63" w:rsidRDefault="008C1C63" w:rsidP="008C1C63">
            <w:pPr>
              <w:jc w:val="center"/>
            </w:pPr>
            <w:r>
              <w:t>38.00</w:t>
            </w:r>
          </w:p>
        </w:tc>
        <w:tc>
          <w:tcPr>
            <w:tcW w:w="2952" w:type="dxa"/>
          </w:tcPr>
          <w:p w14:paraId="50CE5951" w14:textId="290F9E7F" w:rsidR="008C1C63" w:rsidRPr="008C1C63" w:rsidRDefault="008C1C63" w:rsidP="008C1C63">
            <w:pPr>
              <w:jc w:val="center"/>
            </w:pPr>
            <w:r>
              <w:t>50.00</w:t>
            </w:r>
          </w:p>
        </w:tc>
      </w:tr>
      <w:tr w:rsidR="008C1C63" w:rsidRPr="008C1C63" w14:paraId="2043E5A7" w14:textId="77777777" w:rsidTr="008C1C63">
        <w:tc>
          <w:tcPr>
            <w:tcW w:w="2952" w:type="dxa"/>
          </w:tcPr>
          <w:p w14:paraId="5CD5E551" w14:textId="29AAACD4" w:rsidR="008C1C63" w:rsidRPr="008C1C63" w:rsidRDefault="008C1C63" w:rsidP="008C1C63">
            <w:pPr>
              <w:rPr>
                <w:b/>
              </w:rPr>
            </w:pPr>
            <w:r w:rsidRPr="008C1C63">
              <w:rPr>
                <w:b/>
              </w:rPr>
              <w:t>Variance</w:t>
            </w:r>
          </w:p>
        </w:tc>
        <w:tc>
          <w:tcPr>
            <w:tcW w:w="2952" w:type="dxa"/>
          </w:tcPr>
          <w:p w14:paraId="14CB433F" w14:textId="25DF2AB8" w:rsidR="008C1C63" w:rsidRPr="008C1C63" w:rsidRDefault="008C1C63" w:rsidP="008C1C63">
            <w:pPr>
              <w:jc w:val="center"/>
            </w:pPr>
            <w:r>
              <w:t>126.725</w:t>
            </w:r>
          </w:p>
        </w:tc>
        <w:tc>
          <w:tcPr>
            <w:tcW w:w="2952" w:type="dxa"/>
          </w:tcPr>
          <w:p w14:paraId="54DF942A" w14:textId="062ABB07" w:rsidR="008C1C63" w:rsidRPr="008C1C63" w:rsidRDefault="008C1C63" w:rsidP="008C1C63">
            <w:pPr>
              <w:jc w:val="center"/>
            </w:pPr>
            <w:r>
              <w:t>172.360</w:t>
            </w:r>
          </w:p>
        </w:tc>
      </w:tr>
      <w:tr w:rsidR="008C1C63" w:rsidRPr="008C1C63" w14:paraId="2147F823" w14:textId="77777777" w:rsidTr="008C1C63">
        <w:tc>
          <w:tcPr>
            <w:tcW w:w="2952" w:type="dxa"/>
          </w:tcPr>
          <w:p w14:paraId="67CDFBB3" w14:textId="6B9BC877" w:rsidR="008C1C63" w:rsidRPr="008C1C63" w:rsidRDefault="008C1C63" w:rsidP="008C1C63">
            <w:pPr>
              <w:rPr>
                <w:b/>
              </w:rPr>
            </w:pPr>
            <w:r w:rsidRPr="008C1C63">
              <w:rPr>
                <w:b/>
              </w:rPr>
              <w:t>Standard Deviation</w:t>
            </w:r>
          </w:p>
        </w:tc>
        <w:tc>
          <w:tcPr>
            <w:tcW w:w="2952" w:type="dxa"/>
          </w:tcPr>
          <w:p w14:paraId="643DFF88" w14:textId="631D70E2" w:rsidR="008C1C63" w:rsidRPr="008C1C63" w:rsidRDefault="008C1C63" w:rsidP="008C1C63">
            <w:pPr>
              <w:jc w:val="center"/>
            </w:pPr>
            <w:r>
              <w:t>11.257</w:t>
            </w:r>
          </w:p>
        </w:tc>
        <w:tc>
          <w:tcPr>
            <w:tcW w:w="2952" w:type="dxa"/>
          </w:tcPr>
          <w:p w14:paraId="3980E7C3" w14:textId="1E9D1A12" w:rsidR="008C1C63" w:rsidRPr="008C1C63" w:rsidRDefault="008C1C63" w:rsidP="008C1C63">
            <w:pPr>
              <w:jc w:val="center"/>
            </w:pPr>
            <w:r>
              <w:t>13.125</w:t>
            </w:r>
          </w:p>
        </w:tc>
      </w:tr>
      <w:tr w:rsidR="008C1C63" w:rsidRPr="008C1C63" w14:paraId="356D2A73" w14:textId="77777777" w:rsidTr="008C1C63">
        <w:tc>
          <w:tcPr>
            <w:tcW w:w="2952" w:type="dxa"/>
          </w:tcPr>
          <w:p w14:paraId="61071774" w14:textId="3393D59D" w:rsidR="008C1C63" w:rsidRPr="008C1C63" w:rsidRDefault="008C1C63" w:rsidP="008C1C63">
            <w:pPr>
              <w:rPr>
                <w:b/>
              </w:rPr>
            </w:pPr>
            <w:r w:rsidRPr="008C1C63">
              <w:rPr>
                <w:b/>
              </w:rPr>
              <w:t>Range</w:t>
            </w:r>
          </w:p>
        </w:tc>
        <w:tc>
          <w:tcPr>
            <w:tcW w:w="2952" w:type="dxa"/>
          </w:tcPr>
          <w:p w14:paraId="681B9494" w14:textId="2568D6B6" w:rsidR="008C1C63" w:rsidRPr="008C1C63" w:rsidRDefault="008C1C63" w:rsidP="008C1C63">
            <w:pPr>
              <w:jc w:val="center"/>
            </w:pPr>
            <w:r>
              <w:t>59</w:t>
            </w:r>
          </w:p>
        </w:tc>
        <w:tc>
          <w:tcPr>
            <w:tcW w:w="2952" w:type="dxa"/>
          </w:tcPr>
          <w:p w14:paraId="051FF0FF" w14:textId="5ACFA724" w:rsidR="008C1C63" w:rsidRPr="008C1C63" w:rsidRDefault="008C1C63" w:rsidP="008C1C63">
            <w:pPr>
              <w:jc w:val="center"/>
            </w:pPr>
            <w:r>
              <w:t>59</w:t>
            </w:r>
          </w:p>
        </w:tc>
      </w:tr>
      <w:tr w:rsidR="008C1C63" w:rsidRPr="008C1C63" w14:paraId="1C594300" w14:textId="77777777" w:rsidTr="008C1C63">
        <w:tc>
          <w:tcPr>
            <w:tcW w:w="2952" w:type="dxa"/>
          </w:tcPr>
          <w:p w14:paraId="7C3D3F5F" w14:textId="1ADDB853" w:rsidR="008C1C63" w:rsidRPr="008C1C63" w:rsidRDefault="008C1C63" w:rsidP="008C1C63">
            <w:pPr>
              <w:rPr>
                <w:b/>
              </w:rPr>
            </w:pPr>
            <w:r w:rsidRPr="008C1C63">
              <w:rPr>
                <w:b/>
              </w:rPr>
              <w:t>Interquartile Range</w:t>
            </w:r>
          </w:p>
        </w:tc>
        <w:tc>
          <w:tcPr>
            <w:tcW w:w="2952" w:type="dxa"/>
          </w:tcPr>
          <w:p w14:paraId="54B5081C" w14:textId="7752BA17" w:rsidR="008C1C63" w:rsidRPr="008C1C63" w:rsidRDefault="008C1C63" w:rsidP="008C1C63">
            <w:pPr>
              <w:jc w:val="center"/>
            </w:pPr>
            <w:r>
              <w:t>16</w:t>
            </w:r>
          </w:p>
        </w:tc>
        <w:tc>
          <w:tcPr>
            <w:tcW w:w="2952" w:type="dxa"/>
          </w:tcPr>
          <w:p w14:paraId="400509E4" w14:textId="69847CBF" w:rsidR="008C1C63" w:rsidRPr="008C1C63" w:rsidRDefault="008C1C63" w:rsidP="008C1C63">
            <w:pPr>
              <w:jc w:val="center"/>
            </w:pPr>
            <w:r>
              <w:t>21</w:t>
            </w:r>
          </w:p>
        </w:tc>
      </w:tr>
    </w:tbl>
    <w:p w14:paraId="61A3F46B" w14:textId="51A48617" w:rsidR="008C1C63" w:rsidRDefault="008C1C63" w:rsidP="008C1C63"/>
    <w:p w14:paraId="1DA691DD" w14:textId="77777777" w:rsidR="008C1C63" w:rsidRDefault="008C1C63" w:rsidP="008C1C63">
      <w:pPr>
        <w:jc w:val="center"/>
      </w:pPr>
    </w:p>
    <w:p w14:paraId="4ED1DE1D" w14:textId="4BB45EC1" w:rsidR="004007D1" w:rsidRDefault="004007D1" w:rsidP="008C1C63">
      <w:pPr>
        <w:pStyle w:val="ListParagraph"/>
        <w:numPr>
          <w:ilvl w:val="1"/>
          <w:numId w:val="3"/>
        </w:numPr>
      </w:pPr>
      <w:r>
        <w:t>Looking at the values of the mean and median, do you think the distribution of prestige is skewed for respondents with a high school diploma? For respondents with a bachelor’s degree?</w:t>
      </w:r>
    </w:p>
    <w:p w14:paraId="2F506DAA" w14:textId="77777777" w:rsidR="004007D1" w:rsidRDefault="004007D1" w:rsidP="004007D1">
      <w:pPr>
        <w:pStyle w:val="ListParagraph"/>
        <w:ind w:left="1440"/>
      </w:pPr>
    </w:p>
    <w:p w14:paraId="2AC15EDE" w14:textId="63B39AD4" w:rsidR="008C1C63" w:rsidRDefault="004007D1" w:rsidP="008C1C63">
      <w:pPr>
        <w:pStyle w:val="ListParagraph"/>
        <w:numPr>
          <w:ilvl w:val="1"/>
          <w:numId w:val="3"/>
        </w:numPr>
      </w:pPr>
      <w:r>
        <w:t>Explain why you think there is more variability of prestige for either group, or why the variability of prestige is similar for the two groups.</w:t>
      </w:r>
    </w:p>
    <w:p w14:paraId="7C47B4AB" w14:textId="77777777" w:rsidR="008C1C63" w:rsidRDefault="008C1C63" w:rsidP="008C1C63"/>
    <w:p w14:paraId="69E0005C" w14:textId="3DF87D75" w:rsidR="00E77D87" w:rsidRDefault="008C1C63" w:rsidP="008C1C63">
      <w:pPr>
        <w:pStyle w:val="ListParagraph"/>
        <w:numPr>
          <w:ilvl w:val="0"/>
          <w:numId w:val="3"/>
        </w:numPr>
      </w:pPr>
      <w:r>
        <w:t>The 2015 average life expectancy for the total population is reported for 10 countries. Calculate the appropriate measures of central tendency and variability for both European countries and non-European countries</w:t>
      </w:r>
      <w:r w:rsidR="008C1901">
        <w:t xml:space="preserve"> </w:t>
      </w:r>
      <w:r w:rsidR="008C1901" w:rsidRPr="008C1901">
        <w:rPr>
          <w:b/>
          <w:bCs/>
          <w:u w:val="single"/>
        </w:rPr>
        <w:t>by hand</w:t>
      </w:r>
      <w:r>
        <w:t xml:space="preserve">. Is there more variability in life expectancy for European countries or non-European countries? </w:t>
      </w:r>
    </w:p>
    <w:p w14:paraId="1AC00E10" w14:textId="77777777" w:rsidR="005D40BD" w:rsidRDefault="005D40BD" w:rsidP="005D40BD">
      <w:pPr>
        <w:pStyle w:val="ListParagraph"/>
      </w:pPr>
    </w:p>
    <w:p w14:paraId="602FC198" w14:textId="604F1A31" w:rsidR="008C1C63" w:rsidRDefault="008C1C63" w:rsidP="008C1C63"/>
    <w:tbl>
      <w:tblPr>
        <w:tblStyle w:val="TableGrid"/>
        <w:tblW w:w="0" w:type="auto"/>
        <w:tblLook w:val="04A0" w:firstRow="1" w:lastRow="0" w:firstColumn="1" w:lastColumn="0" w:noHBand="0" w:noVBand="1"/>
      </w:tblPr>
      <w:tblGrid>
        <w:gridCol w:w="4316"/>
        <w:gridCol w:w="4314"/>
      </w:tblGrid>
      <w:tr w:rsidR="008C1C63" w:rsidRPr="008C1C63" w14:paraId="0DA148B0" w14:textId="77777777" w:rsidTr="008C1C63">
        <w:tc>
          <w:tcPr>
            <w:tcW w:w="4428" w:type="dxa"/>
          </w:tcPr>
          <w:p w14:paraId="265EE7D1" w14:textId="4AE430AB" w:rsidR="008C1C63" w:rsidRPr="008C1C63" w:rsidRDefault="008C1C63" w:rsidP="008C1C63">
            <w:pPr>
              <w:jc w:val="center"/>
              <w:rPr>
                <w:b/>
              </w:rPr>
            </w:pPr>
            <w:r w:rsidRPr="008C1C63">
              <w:rPr>
                <w:b/>
              </w:rPr>
              <w:t>Country</w:t>
            </w:r>
          </w:p>
        </w:tc>
        <w:tc>
          <w:tcPr>
            <w:tcW w:w="4428" w:type="dxa"/>
          </w:tcPr>
          <w:p w14:paraId="21EFF546" w14:textId="59BC2687" w:rsidR="008C1C63" w:rsidRPr="008C1C63" w:rsidRDefault="008C1C63" w:rsidP="008C1C63">
            <w:pPr>
              <w:jc w:val="center"/>
              <w:rPr>
                <w:b/>
              </w:rPr>
            </w:pPr>
            <w:r w:rsidRPr="008C1C63">
              <w:rPr>
                <w:b/>
              </w:rPr>
              <w:t>Life Expectancy at Birth</w:t>
            </w:r>
          </w:p>
        </w:tc>
      </w:tr>
      <w:tr w:rsidR="005D40BD" w:rsidRPr="008C1C63" w14:paraId="7627B2D8" w14:textId="77777777" w:rsidTr="00757856">
        <w:tc>
          <w:tcPr>
            <w:tcW w:w="8856" w:type="dxa"/>
            <w:gridSpan w:val="2"/>
          </w:tcPr>
          <w:p w14:paraId="42F2C2CB" w14:textId="66BFDFC7" w:rsidR="005D40BD" w:rsidRPr="008C1C63" w:rsidRDefault="005D40BD" w:rsidP="005D40BD">
            <w:pPr>
              <w:jc w:val="center"/>
              <w:rPr>
                <w:b/>
              </w:rPr>
            </w:pPr>
            <w:r w:rsidRPr="008C1C63">
              <w:rPr>
                <w:b/>
              </w:rPr>
              <w:t>European Countries</w:t>
            </w:r>
          </w:p>
        </w:tc>
      </w:tr>
      <w:tr w:rsidR="008C1C63" w:rsidRPr="008C1C63" w14:paraId="7295E722" w14:textId="77777777" w:rsidTr="008C1C63">
        <w:tc>
          <w:tcPr>
            <w:tcW w:w="4428" w:type="dxa"/>
          </w:tcPr>
          <w:p w14:paraId="6C050526" w14:textId="565EFA60" w:rsidR="008C1C63" w:rsidRPr="005D40BD" w:rsidRDefault="008C1C63" w:rsidP="008C1C63">
            <w:pPr>
              <w:rPr>
                <w:b/>
                <w:i/>
              </w:rPr>
            </w:pPr>
            <w:r w:rsidRPr="005D40BD">
              <w:rPr>
                <w:b/>
                <w:i/>
              </w:rPr>
              <w:t>France</w:t>
            </w:r>
          </w:p>
        </w:tc>
        <w:tc>
          <w:tcPr>
            <w:tcW w:w="4428" w:type="dxa"/>
          </w:tcPr>
          <w:p w14:paraId="17A3663D" w14:textId="78D553C3" w:rsidR="008C1C63" w:rsidRPr="005D40BD" w:rsidRDefault="005D40BD" w:rsidP="005D40BD">
            <w:pPr>
              <w:jc w:val="center"/>
            </w:pPr>
            <w:r w:rsidRPr="005D40BD">
              <w:t>81.8</w:t>
            </w:r>
          </w:p>
        </w:tc>
      </w:tr>
      <w:tr w:rsidR="008C1C63" w:rsidRPr="008C1C63" w14:paraId="59D713A7" w14:textId="77777777" w:rsidTr="008C1C63">
        <w:tc>
          <w:tcPr>
            <w:tcW w:w="4428" w:type="dxa"/>
          </w:tcPr>
          <w:p w14:paraId="7BD0ED4C" w14:textId="14656933" w:rsidR="008C1C63" w:rsidRPr="005D40BD" w:rsidRDefault="008C1C63" w:rsidP="008C1C63">
            <w:pPr>
              <w:rPr>
                <w:b/>
                <w:i/>
              </w:rPr>
            </w:pPr>
            <w:r w:rsidRPr="005D40BD">
              <w:rPr>
                <w:b/>
                <w:i/>
              </w:rPr>
              <w:t>Germany</w:t>
            </w:r>
          </w:p>
        </w:tc>
        <w:tc>
          <w:tcPr>
            <w:tcW w:w="4428" w:type="dxa"/>
          </w:tcPr>
          <w:p w14:paraId="192C76D2" w14:textId="6427A90F" w:rsidR="008C1C63" w:rsidRPr="005D40BD" w:rsidRDefault="005D40BD" w:rsidP="005D40BD">
            <w:pPr>
              <w:jc w:val="center"/>
            </w:pPr>
            <w:r w:rsidRPr="005D40BD">
              <w:t>80.6</w:t>
            </w:r>
          </w:p>
        </w:tc>
      </w:tr>
      <w:tr w:rsidR="008C1C63" w:rsidRPr="008C1C63" w14:paraId="06E6E732" w14:textId="77777777" w:rsidTr="008C1C63">
        <w:tc>
          <w:tcPr>
            <w:tcW w:w="4428" w:type="dxa"/>
          </w:tcPr>
          <w:p w14:paraId="2B19E4CE" w14:textId="3A96F149" w:rsidR="008C1C63" w:rsidRPr="005D40BD" w:rsidRDefault="008C1C63" w:rsidP="008C1C63">
            <w:pPr>
              <w:rPr>
                <w:b/>
                <w:i/>
              </w:rPr>
            </w:pPr>
            <w:r w:rsidRPr="005D40BD">
              <w:rPr>
                <w:b/>
                <w:i/>
              </w:rPr>
              <w:t>Netherlands</w:t>
            </w:r>
          </w:p>
        </w:tc>
        <w:tc>
          <w:tcPr>
            <w:tcW w:w="4428" w:type="dxa"/>
          </w:tcPr>
          <w:p w14:paraId="1B6B8556" w14:textId="22350729" w:rsidR="008C1C63" w:rsidRPr="005D40BD" w:rsidRDefault="005D40BD" w:rsidP="005D40BD">
            <w:pPr>
              <w:jc w:val="center"/>
            </w:pPr>
            <w:r w:rsidRPr="005D40BD">
              <w:t>81.2</w:t>
            </w:r>
          </w:p>
        </w:tc>
      </w:tr>
      <w:tr w:rsidR="008C1C63" w:rsidRPr="008C1C63" w14:paraId="634950C6" w14:textId="77777777" w:rsidTr="008C1C63">
        <w:tc>
          <w:tcPr>
            <w:tcW w:w="4428" w:type="dxa"/>
          </w:tcPr>
          <w:p w14:paraId="6340306B" w14:textId="39E2E61D" w:rsidR="008C1C63" w:rsidRPr="005D40BD" w:rsidRDefault="008C1C63" w:rsidP="008C1C63">
            <w:pPr>
              <w:rPr>
                <w:b/>
                <w:i/>
              </w:rPr>
            </w:pPr>
            <w:r w:rsidRPr="005D40BD">
              <w:rPr>
                <w:b/>
                <w:i/>
              </w:rPr>
              <w:t>Spain</w:t>
            </w:r>
          </w:p>
        </w:tc>
        <w:tc>
          <w:tcPr>
            <w:tcW w:w="4428" w:type="dxa"/>
          </w:tcPr>
          <w:p w14:paraId="308E6F1C" w14:textId="4C8D48FE" w:rsidR="008C1C63" w:rsidRPr="005D40BD" w:rsidRDefault="005D40BD" w:rsidP="005D40BD">
            <w:pPr>
              <w:jc w:val="center"/>
            </w:pPr>
            <w:r w:rsidRPr="005D40BD">
              <w:t>81.6</w:t>
            </w:r>
          </w:p>
        </w:tc>
      </w:tr>
      <w:tr w:rsidR="008C1C63" w:rsidRPr="008C1C63" w14:paraId="19ABE823" w14:textId="77777777" w:rsidTr="008C1C63">
        <w:tc>
          <w:tcPr>
            <w:tcW w:w="4428" w:type="dxa"/>
          </w:tcPr>
          <w:p w14:paraId="0EACA056" w14:textId="1C962E07" w:rsidR="008C1C63" w:rsidRPr="005D40BD" w:rsidRDefault="008C1C63" w:rsidP="008C1C63">
            <w:pPr>
              <w:rPr>
                <w:b/>
                <w:i/>
              </w:rPr>
            </w:pPr>
            <w:r w:rsidRPr="005D40BD">
              <w:rPr>
                <w:b/>
                <w:i/>
              </w:rPr>
              <w:t>Turkey</w:t>
            </w:r>
          </w:p>
        </w:tc>
        <w:tc>
          <w:tcPr>
            <w:tcW w:w="4428" w:type="dxa"/>
          </w:tcPr>
          <w:p w14:paraId="0F8FC602" w14:textId="73FC58E0" w:rsidR="008C1C63" w:rsidRPr="005D40BD" w:rsidRDefault="005D40BD" w:rsidP="005D40BD">
            <w:pPr>
              <w:jc w:val="center"/>
            </w:pPr>
            <w:r w:rsidRPr="005D40BD">
              <w:t>74.6</w:t>
            </w:r>
          </w:p>
        </w:tc>
      </w:tr>
      <w:tr w:rsidR="005D40BD" w:rsidRPr="008C1C63" w14:paraId="62582231" w14:textId="77777777" w:rsidTr="006A550E">
        <w:tc>
          <w:tcPr>
            <w:tcW w:w="8856" w:type="dxa"/>
            <w:gridSpan w:val="2"/>
          </w:tcPr>
          <w:p w14:paraId="4533768F" w14:textId="647E74EB" w:rsidR="005D40BD" w:rsidRPr="005D40BD" w:rsidRDefault="005D40BD" w:rsidP="005D40BD">
            <w:pPr>
              <w:jc w:val="center"/>
            </w:pPr>
            <w:r w:rsidRPr="008C1C63">
              <w:rPr>
                <w:b/>
              </w:rPr>
              <w:t>Non-European Countries</w:t>
            </w:r>
          </w:p>
        </w:tc>
      </w:tr>
      <w:tr w:rsidR="008C1C63" w:rsidRPr="008C1C63" w14:paraId="51A63445" w14:textId="77777777" w:rsidTr="008C1C63">
        <w:tc>
          <w:tcPr>
            <w:tcW w:w="4428" w:type="dxa"/>
          </w:tcPr>
          <w:p w14:paraId="1571519F" w14:textId="102C9C30" w:rsidR="008C1C63" w:rsidRPr="005D40BD" w:rsidRDefault="005D40BD" w:rsidP="008C1C63">
            <w:pPr>
              <w:rPr>
                <w:b/>
                <w:i/>
              </w:rPr>
            </w:pPr>
            <w:r w:rsidRPr="005D40BD">
              <w:rPr>
                <w:b/>
                <w:i/>
              </w:rPr>
              <w:t>Japan</w:t>
            </w:r>
          </w:p>
        </w:tc>
        <w:tc>
          <w:tcPr>
            <w:tcW w:w="4428" w:type="dxa"/>
          </w:tcPr>
          <w:p w14:paraId="3754F776" w14:textId="4BD81ADE" w:rsidR="008C1C63" w:rsidRPr="005D40BD" w:rsidRDefault="005D40BD" w:rsidP="005D40BD">
            <w:pPr>
              <w:jc w:val="center"/>
            </w:pPr>
            <w:r w:rsidRPr="005D40BD">
              <w:t>84.7</w:t>
            </w:r>
          </w:p>
        </w:tc>
      </w:tr>
      <w:tr w:rsidR="008C1C63" w:rsidRPr="008C1C63" w14:paraId="340439D0" w14:textId="77777777" w:rsidTr="008C1C63">
        <w:tc>
          <w:tcPr>
            <w:tcW w:w="4428" w:type="dxa"/>
          </w:tcPr>
          <w:p w14:paraId="76186C70" w14:textId="3B984466" w:rsidR="008C1C63" w:rsidRPr="005D40BD" w:rsidRDefault="005D40BD" w:rsidP="008C1C63">
            <w:pPr>
              <w:rPr>
                <w:b/>
                <w:i/>
              </w:rPr>
            </w:pPr>
            <w:r w:rsidRPr="005D40BD">
              <w:rPr>
                <w:b/>
                <w:i/>
              </w:rPr>
              <w:t>Australia</w:t>
            </w:r>
          </w:p>
        </w:tc>
        <w:tc>
          <w:tcPr>
            <w:tcW w:w="4428" w:type="dxa"/>
          </w:tcPr>
          <w:p w14:paraId="2204FA54" w14:textId="575B4BE2" w:rsidR="008C1C63" w:rsidRPr="005D40BD" w:rsidRDefault="005D40BD" w:rsidP="005D40BD">
            <w:pPr>
              <w:jc w:val="center"/>
            </w:pPr>
            <w:r w:rsidRPr="005D40BD">
              <w:t>82.1</w:t>
            </w:r>
          </w:p>
        </w:tc>
      </w:tr>
      <w:tr w:rsidR="005D40BD" w:rsidRPr="008C1C63" w14:paraId="319A1F2F" w14:textId="77777777" w:rsidTr="008C1C63">
        <w:tc>
          <w:tcPr>
            <w:tcW w:w="4428" w:type="dxa"/>
          </w:tcPr>
          <w:p w14:paraId="15AD3ABA" w14:textId="087968F9" w:rsidR="005D40BD" w:rsidRPr="005D40BD" w:rsidRDefault="005D40BD" w:rsidP="008C1C63">
            <w:pPr>
              <w:rPr>
                <w:b/>
                <w:i/>
              </w:rPr>
            </w:pPr>
            <w:r w:rsidRPr="005D40BD">
              <w:rPr>
                <w:b/>
                <w:i/>
              </w:rPr>
              <w:t>Mexico</w:t>
            </w:r>
          </w:p>
        </w:tc>
        <w:tc>
          <w:tcPr>
            <w:tcW w:w="4428" w:type="dxa"/>
          </w:tcPr>
          <w:p w14:paraId="31B2C0C5" w14:textId="53937794" w:rsidR="005D40BD" w:rsidRPr="005D40BD" w:rsidRDefault="005D40BD" w:rsidP="005D40BD">
            <w:pPr>
              <w:jc w:val="center"/>
            </w:pPr>
            <w:r w:rsidRPr="005D40BD">
              <w:t>75.7</w:t>
            </w:r>
          </w:p>
        </w:tc>
      </w:tr>
      <w:tr w:rsidR="005D40BD" w:rsidRPr="008C1C63" w14:paraId="61506BDA" w14:textId="77777777" w:rsidTr="008C1C63">
        <w:tc>
          <w:tcPr>
            <w:tcW w:w="4428" w:type="dxa"/>
          </w:tcPr>
          <w:p w14:paraId="6F8C2806" w14:textId="276DFF7E" w:rsidR="005D40BD" w:rsidRPr="005D40BD" w:rsidRDefault="005D40BD" w:rsidP="008C1C63">
            <w:pPr>
              <w:rPr>
                <w:b/>
                <w:i/>
              </w:rPr>
            </w:pPr>
            <w:r w:rsidRPr="005D40BD">
              <w:rPr>
                <w:b/>
                <w:i/>
              </w:rPr>
              <w:t>Iceland</w:t>
            </w:r>
          </w:p>
        </w:tc>
        <w:tc>
          <w:tcPr>
            <w:tcW w:w="4428" w:type="dxa"/>
          </w:tcPr>
          <w:p w14:paraId="6EE84FF5" w14:textId="5B9BF27D" w:rsidR="005D40BD" w:rsidRPr="005D40BD" w:rsidRDefault="005D40BD" w:rsidP="005D40BD">
            <w:pPr>
              <w:jc w:val="center"/>
            </w:pPr>
            <w:r w:rsidRPr="005D40BD">
              <w:t>83.0</w:t>
            </w:r>
          </w:p>
        </w:tc>
      </w:tr>
      <w:tr w:rsidR="005D40BD" w:rsidRPr="008C1C63" w14:paraId="673DCB61" w14:textId="77777777" w:rsidTr="008C1C63">
        <w:tc>
          <w:tcPr>
            <w:tcW w:w="4428" w:type="dxa"/>
          </w:tcPr>
          <w:p w14:paraId="4C3D04FD" w14:textId="78D0D5BC" w:rsidR="005D40BD" w:rsidRPr="005D40BD" w:rsidRDefault="005D40BD" w:rsidP="008C1C63">
            <w:pPr>
              <w:rPr>
                <w:b/>
                <w:i/>
              </w:rPr>
            </w:pPr>
            <w:r w:rsidRPr="005D40BD">
              <w:rPr>
                <w:b/>
                <w:i/>
              </w:rPr>
              <w:t>Israel</w:t>
            </w:r>
          </w:p>
        </w:tc>
        <w:tc>
          <w:tcPr>
            <w:tcW w:w="4428" w:type="dxa"/>
          </w:tcPr>
          <w:p w14:paraId="5BF52949" w14:textId="56084747" w:rsidR="005D40BD" w:rsidRPr="005D40BD" w:rsidRDefault="005D40BD" w:rsidP="005D40BD">
            <w:pPr>
              <w:jc w:val="center"/>
            </w:pPr>
            <w:r w:rsidRPr="005D40BD">
              <w:t>82.3</w:t>
            </w:r>
          </w:p>
        </w:tc>
      </w:tr>
    </w:tbl>
    <w:p w14:paraId="55ACBEFD" w14:textId="77777777" w:rsidR="008C1C63" w:rsidRPr="00C51275" w:rsidRDefault="008C1C63" w:rsidP="008C1C63"/>
    <w:p w14:paraId="57612CF5" w14:textId="77777777" w:rsidR="00E77D87" w:rsidRPr="00C51275" w:rsidRDefault="00E77D87" w:rsidP="00E77D87"/>
    <w:sectPr w:rsidR="00E77D87" w:rsidRPr="00C51275" w:rsidSect="00E26A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D0591"/>
    <w:multiLevelType w:val="hybridMultilevel"/>
    <w:tmpl w:val="421A5B52"/>
    <w:lvl w:ilvl="0" w:tplc="04090005">
      <w:start w:val="1"/>
      <w:numFmt w:val="bullet"/>
      <w:lvlText w:val=""/>
      <w:lvlJc w:val="left"/>
      <w:pPr>
        <w:tabs>
          <w:tab w:val="num" w:pos="1440"/>
        </w:tabs>
        <w:ind w:left="1440" w:hanging="360"/>
      </w:pPr>
      <w:rPr>
        <w:rFonts w:ascii="Wingdings" w:hAnsi="Wingdings" w:hint="default"/>
      </w:rPr>
    </w:lvl>
    <w:lvl w:ilvl="1" w:tplc="0409000D">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613DB9"/>
    <w:multiLevelType w:val="hybridMultilevel"/>
    <w:tmpl w:val="7EDC24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705F34"/>
    <w:multiLevelType w:val="multilevel"/>
    <w:tmpl w:val="C0062CA2"/>
    <w:lvl w:ilvl="0">
      <w:start w:val="1"/>
      <w:numFmt w:val="bullet"/>
      <w:lvlText w:val=""/>
      <w:lvlJc w:val="left"/>
      <w:pPr>
        <w:tabs>
          <w:tab w:val="num" w:pos="1440"/>
        </w:tabs>
        <w:ind w:left="1440" w:hanging="360"/>
      </w:pPr>
      <w:rPr>
        <w:rFonts w:ascii="Wingdings" w:hAnsi="Wingdings"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9894271"/>
    <w:multiLevelType w:val="hybridMultilevel"/>
    <w:tmpl w:val="A2F4D81C"/>
    <w:lvl w:ilvl="0" w:tplc="0409000F">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28"/>
    <w:rsid w:val="00071961"/>
    <w:rsid w:val="000A08B4"/>
    <w:rsid w:val="000B3F2F"/>
    <w:rsid w:val="001243BF"/>
    <w:rsid w:val="00131046"/>
    <w:rsid w:val="001561F7"/>
    <w:rsid w:val="00157E08"/>
    <w:rsid w:val="00287820"/>
    <w:rsid w:val="003053F5"/>
    <w:rsid w:val="00322F03"/>
    <w:rsid w:val="00341060"/>
    <w:rsid w:val="00355823"/>
    <w:rsid w:val="00372B89"/>
    <w:rsid w:val="003D2FDB"/>
    <w:rsid w:val="004007D1"/>
    <w:rsid w:val="00420B62"/>
    <w:rsid w:val="00483E06"/>
    <w:rsid w:val="004B3807"/>
    <w:rsid w:val="004B4181"/>
    <w:rsid w:val="00526938"/>
    <w:rsid w:val="00535D6C"/>
    <w:rsid w:val="005D40BD"/>
    <w:rsid w:val="005E0F92"/>
    <w:rsid w:val="006564E0"/>
    <w:rsid w:val="006576CE"/>
    <w:rsid w:val="006A0FDE"/>
    <w:rsid w:val="006A2B28"/>
    <w:rsid w:val="006B0358"/>
    <w:rsid w:val="00740FFB"/>
    <w:rsid w:val="007D33BD"/>
    <w:rsid w:val="00890202"/>
    <w:rsid w:val="008C1901"/>
    <w:rsid w:val="008C1C63"/>
    <w:rsid w:val="009255C3"/>
    <w:rsid w:val="00972545"/>
    <w:rsid w:val="00A95BEA"/>
    <w:rsid w:val="00AC7A14"/>
    <w:rsid w:val="00AE5729"/>
    <w:rsid w:val="00B6039A"/>
    <w:rsid w:val="00B654C7"/>
    <w:rsid w:val="00B75AF2"/>
    <w:rsid w:val="00C37B56"/>
    <w:rsid w:val="00C52F6A"/>
    <w:rsid w:val="00CC4823"/>
    <w:rsid w:val="00D0625F"/>
    <w:rsid w:val="00D1329A"/>
    <w:rsid w:val="00DC7253"/>
    <w:rsid w:val="00E25AE0"/>
    <w:rsid w:val="00E26AAF"/>
    <w:rsid w:val="00E438E5"/>
    <w:rsid w:val="00E77D87"/>
    <w:rsid w:val="00EA3A12"/>
    <w:rsid w:val="00EC5241"/>
    <w:rsid w:val="00F07AAD"/>
    <w:rsid w:val="00F31FD6"/>
    <w:rsid w:val="00FA72ED"/>
    <w:rsid w:val="00FD08E5"/>
    <w:rsid w:val="00FE5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C7DF0E"/>
  <w15:docId w15:val="{0B2C6474-031B-7E44-9195-9135F5D3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202"/>
    <w:pPr>
      <w:ind w:left="720"/>
      <w:contextualSpacing/>
    </w:pPr>
  </w:style>
  <w:style w:type="paragraph" w:customStyle="1" w:styleId="sub-Q">
    <w:name w:val="sub-Q"/>
    <w:basedOn w:val="Normal"/>
    <w:rsid w:val="00E77D87"/>
    <w:pPr>
      <w:tabs>
        <w:tab w:val="left" w:pos="432"/>
      </w:tabs>
      <w:ind w:left="864" w:hanging="864"/>
      <w:jc w:val="both"/>
    </w:pPr>
    <w:rPr>
      <w:rFonts w:ascii="Book Antiqua" w:hAnsi="Book Antiqua"/>
      <w:sz w:val="21"/>
      <w:szCs w:val="20"/>
    </w:rPr>
  </w:style>
  <w:style w:type="paragraph" w:styleId="BalloonText">
    <w:name w:val="Balloon Text"/>
    <w:basedOn w:val="Normal"/>
    <w:link w:val="BalloonTextChar"/>
    <w:semiHidden/>
    <w:unhideWhenUsed/>
    <w:rsid w:val="004007D1"/>
    <w:rPr>
      <w:sz w:val="18"/>
      <w:szCs w:val="18"/>
    </w:rPr>
  </w:style>
  <w:style w:type="character" w:customStyle="1" w:styleId="BalloonTextChar">
    <w:name w:val="Balloon Text Char"/>
    <w:basedOn w:val="DefaultParagraphFont"/>
    <w:link w:val="BalloonText"/>
    <w:semiHidden/>
    <w:rsid w:val="004007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73124">
      <w:bodyDiv w:val="1"/>
      <w:marLeft w:val="0"/>
      <w:marRight w:val="0"/>
      <w:marTop w:val="0"/>
      <w:marBottom w:val="0"/>
      <w:divBdr>
        <w:top w:val="none" w:sz="0" w:space="0" w:color="auto"/>
        <w:left w:val="none" w:sz="0" w:space="0" w:color="auto"/>
        <w:bottom w:val="none" w:sz="0" w:space="0" w:color="auto"/>
        <w:right w:val="none" w:sz="0" w:space="0" w:color="auto"/>
      </w:divBdr>
      <w:divsChild>
        <w:div w:id="161430471">
          <w:marLeft w:val="0"/>
          <w:marRight w:val="0"/>
          <w:marTop w:val="0"/>
          <w:marBottom w:val="0"/>
          <w:divBdr>
            <w:top w:val="none" w:sz="0" w:space="0" w:color="auto"/>
            <w:left w:val="none" w:sz="0" w:space="0" w:color="auto"/>
            <w:bottom w:val="none" w:sz="0" w:space="0" w:color="auto"/>
            <w:right w:val="none" w:sz="0" w:space="0" w:color="auto"/>
          </w:divBdr>
        </w:div>
        <w:div w:id="369383732">
          <w:marLeft w:val="0"/>
          <w:marRight w:val="0"/>
          <w:marTop w:val="0"/>
          <w:marBottom w:val="0"/>
          <w:divBdr>
            <w:top w:val="none" w:sz="0" w:space="0" w:color="auto"/>
            <w:left w:val="none" w:sz="0" w:space="0" w:color="auto"/>
            <w:bottom w:val="none" w:sz="0" w:space="0" w:color="auto"/>
            <w:right w:val="none" w:sz="0" w:space="0" w:color="auto"/>
          </w:divBdr>
        </w:div>
        <w:div w:id="1076786958">
          <w:marLeft w:val="0"/>
          <w:marRight w:val="0"/>
          <w:marTop w:val="0"/>
          <w:marBottom w:val="0"/>
          <w:divBdr>
            <w:top w:val="none" w:sz="0" w:space="0" w:color="auto"/>
            <w:left w:val="none" w:sz="0" w:space="0" w:color="auto"/>
            <w:bottom w:val="none" w:sz="0" w:space="0" w:color="auto"/>
            <w:right w:val="none" w:sz="0" w:space="0" w:color="auto"/>
          </w:divBdr>
        </w:div>
        <w:div w:id="1472794400">
          <w:marLeft w:val="0"/>
          <w:marRight w:val="0"/>
          <w:marTop w:val="0"/>
          <w:marBottom w:val="0"/>
          <w:divBdr>
            <w:top w:val="none" w:sz="0" w:space="0" w:color="auto"/>
            <w:left w:val="none" w:sz="0" w:space="0" w:color="auto"/>
            <w:bottom w:val="none" w:sz="0" w:space="0" w:color="auto"/>
            <w:right w:val="none" w:sz="0" w:space="0" w:color="auto"/>
          </w:divBdr>
        </w:div>
        <w:div w:id="1891531178">
          <w:marLeft w:val="0"/>
          <w:marRight w:val="0"/>
          <w:marTop w:val="0"/>
          <w:marBottom w:val="0"/>
          <w:divBdr>
            <w:top w:val="none" w:sz="0" w:space="0" w:color="auto"/>
            <w:left w:val="none" w:sz="0" w:space="0" w:color="auto"/>
            <w:bottom w:val="none" w:sz="0" w:space="0" w:color="auto"/>
            <w:right w:val="none" w:sz="0" w:space="0" w:color="auto"/>
          </w:divBdr>
        </w:div>
      </w:divsChild>
    </w:div>
    <w:div w:id="148284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UMKC</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Hardie</dc:creator>
  <cp:lastModifiedBy>Windows User</cp:lastModifiedBy>
  <cp:revision>2</cp:revision>
  <dcterms:created xsi:type="dcterms:W3CDTF">2021-02-28T13:56:00Z</dcterms:created>
  <dcterms:modified xsi:type="dcterms:W3CDTF">2021-02-28T13:56:00Z</dcterms:modified>
</cp:coreProperties>
</file>